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7ECB" w14:textId="7338AFD5" w:rsidR="00A8799A" w:rsidRPr="00825851" w:rsidRDefault="00A8799A" w:rsidP="00825851">
      <w:pPr>
        <w:spacing w:before="96" w:line="283" w:lineRule="auto"/>
        <w:ind w:right="1443"/>
        <w:rPr>
          <w:sz w:val="4"/>
          <w:szCs w:val="4"/>
        </w:rPr>
        <w:sectPr w:rsidR="00A8799A" w:rsidRPr="00825851">
          <w:headerReference w:type="default" r:id="rId7"/>
          <w:pgSz w:w="12240" w:h="15840"/>
          <w:pgMar w:top="700" w:right="680" w:bottom="280" w:left="180" w:header="720" w:footer="720" w:gutter="0"/>
          <w:cols w:num="2" w:space="720" w:equalWidth="0">
            <w:col w:w="4746" w:space="174"/>
            <w:col w:w="6460"/>
          </w:cols>
        </w:sectPr>
      </w:pPr>
    </w:p>
    <w:p w14:paraId="26939A7E" w14:textId="41C65FC0" w:rsidR="00825851" w:rsidRPr="00825851" w:rsidRDefault="00825851" w:rsidP="00825851">
      <w:pPr>
        <w:tabs>
          <w:tab w:val="left" w:pos="1730"/>
        </w:tabs>
        <w:rPr>
          <w:rFonts w:ascii="Symbol" w:hAnsi="Symbol"/>
          <w:sz w:val="24"/>
        </w:rPr>
        <w:sectPr w:rsidR="00825851" w:rsidRPr="00825851">
          <w:type w:val="continuous"/>
          <w:pgSz w:w="12240" w:h="15840"/>
          <w:pgMar w:top="700" w:right="680" w:bottom="280" w:left="180" w:header="720" w:footer="720" w:gutter="0"/>
          <w:cols w:space="720"/>
        </w:sectPr>
      </w:pPr>
    </w:p>
    <w:p w14:paraId="698CEE98" w14:textId="41AB5550" w:rsidR="00A8799A" w:rsidRDefault="00A8799A" w:rsidP="00825851">
      <w:pPr>
        <w:pStyle w:val="BodyText"/>
        <w:spacing w:before="61"/>
        <w:sectPr w:rsidR="00A8799A">
          <w:type w:val="continuous"/>
          <w:pgSz w:w="12240" w:h="15840"/>
          <w:pgMar w:top="700" w:right="680" w:bottom="280" w:left="180" w:header="720" w:footer="720" w:gutter="0"/>
          <w:cols w:num="2" w:space="720" w:equalWidth="0">
            <w:col w:w="4543" w:space="498"/>
            <w:col w:w="6339"/>
          </w:cols>
        </w:sectPr>
      </w:pPr>
    </w:p>
    <w:p w14:paraId="78E50AA2" w14:textId="5B84D414" w:rsidR="00A8799A" w:rsidRDefault="00A8799A" w:rsidP="00825851">
      <w:pPr>
        <w:pStyle w:val="BodyText"/>
        <w:spacing w:before="61"/>
        <w:rPr>
          <w:b/>
          <w:bCs/>
        </w:rPr>
      </w:pPr>
      <w:r w:rsidRPr="00A8799A">
        <w:rPr>
          <w:b/>
          <w:bCs/>
        </w:rPr>
        <w:t>Recommended Pre-work</w:t>
      </w:r>
    </w:p>
    <w:p w14:paraId="47A14670" w14:textId="41AD67FA" w:rsidR="00825851" w:rsidRDefault="00825851" w:rsidP="00825851">
      <w:r>
        <w:t xml:space="preserve"> </w:t>
      </w:r>
    </w:p>
    <w:p w14:paraId="111809B6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8" w:history="1">
        <w:r w:rsidRPr="0086593F">
          <w:rPr>
            <w:rStyle w:val="Hyperlink"/>
          </w:rPr>
          <w:t>Medicaid MCO Overview and Financing Webinar</w:t>
        </w:r>
      </w:hyperlink>
    </w:p>
    <w:p w14:paraId="6239487B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9" w:history="1">
        <w:r w:rsidRPr="0086593F">
          <w:rPr>
            <w:rStyle w:val="Hyperlink"/>
          </w:rPr>
          <w:t>Medicaid MCO Authorities and Partnership Strategies Webinar</w:t>
        </w:r>
      </w:hyperlink>
    </w:p>
    <w:p w14:paraId="4A9E8DD2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10" w:history="1">
        <w:r w:rsidRPr="0086593F">
          <w:rPr>
            <w:rStyle w:val="Hyperlink"/>
          </w:rPr>
          <w:t>Medicaid Perspectives: The Importance of Medicaid and Integral Role of Safety Net Providers and Health Plans</w:t>
        </w:r>
      </w:hyperlink>
      <w:r w:rsidRPr="0086593F">
        <w:t xml:space="preserve"> (Fall 2017)</w:t>
      </w:r>
    </w:p>
    <w:p w14:paraId="3FB383C9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11" w:history="1">
        <w:r w:rsidRPr="0086593F">
          <w:rPr>
            <w:rStyle w:val="Hyperlink"/>
          </w:rPr>
          <w:t>Institute for Medicaid Innovation's (IMI) 2020 Medicaid Managed Care Survey</w:t>
        </w:r>
      </w:hyperlink>
      <w:r w:rsidRPr="0086593F">
        <w:t xml:space="preserve"> (December 2020)</w:t>
      </w:r>
    </w:p>
    <w:p w14:paraId="64D38F55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12" w:history="1">
        <w:r w:rsidRPr="0086593F">
          <w:rPr>
            <w:rStyle w:val="Hyperlink"/>
          </w:rPr>
          <w:t>NAMD State Operations Report</w:t>
        </w:r>
      </w:hyperlink>
      <w:r w:rsidRPr="0086593F">
        <w:t xml:space="preserve"> (Fall 2019)</w:t>
      </w:r>
    </w:p>
    <w:p w14:paraId="232E9D80" w14:textId="77777777" w:rsidR="00825851" w:rsidRDefault="00825851" w:rsidP="00825851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720"/>
        <w:contextualSpacing/>
      </w:pPr>
      <w:hyperlink r:id="rId13" w:history="1">
        <w:r w:rsidRPr="0086593F">
          <w:rPr>
            <w:rStyle w:val="Hyperlink"/>
          </w:rPr>
          <w:t>Annual Medicaid &amp; CHIP Expenditures</w:t>
        </w:r>
      </w:hyperlink>
    </w:p>
    <w:p w14:paraId="11C8FB27" w14:textId="77777777" w:rsidR="00825851" w:rsidRPr="00A8799A" w:rsidRDefault="00825851" w:rsidP="00A8799A">
      <w:pPr>
        <w:pStyle w:val="BodyText"/>
        <w:spacing w:before="61"/>
        <w:ind w:left="1620"/>
        <w:rPr>
          <w:b/>
          <w:bCs/>
        </w:rPr>
      </w:pPr>
    </w:p>
    <w:p w14:paraId="24F56CA8" w14:textId="77777777" w:rsidR="00A8799A" w:rsidRDefault="00A8799A" w:rsidP="00A8799A"/>
    <w:p w14:paraId="62BB3FF0" w14:textId="77777777" w:rsidR="00F15AF7" w:rsidRDefault="00F15AF7" w:rsidP="00A8799A"/>
    <w:p w14:paraId="002D6CFF" w14:textId="64F4B80D" w:rsidR="00F15AF7" w:rsidRPr="00A8799A" w:rsidRDefault="00F15AF7" w:rsidP="00F15AF7">
      <w:pPr>
        <w:sectPr w:rsidR="00F15AF7" w:rsidRPr="00A8799A" w:rsidSect="0082585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   </w:t>
      </w:r>
    </w:p>
    <w:p w14:paraId="3EB38714" w14:textId="77777777" w:rsidR="00A8799A" w:rsidRDefault="00A8799A">
      <w:pPr>
        <w:sectPr w:rsidR="00A879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4E15E" w14:textId="5EAA19FA" w:rsidR="001562F5" w:rsidRDefault="001562F5"/>
    <w:sectPr w:rsidR="001562F5" w:rsidSect="00A87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17BC" w14:textId="77777777" w:rsidR="00825851" w:rsidRDefault="00825851" w:rsidP="00825851">
      <w:r>
        <w:separator/>
      </w:r>
    </w:p>
  </w:endnote>
  <w:endnote w:type="continuationSeparator" w:id="0">
    <w:p w14:paraId="3F9F4F1C" w14:textId="77777777" w:rsidR="00825851" w:rsidRDefault="00825851" w:rsidP="008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27EA" w14:textId="77777777" w:rsidR="00825851" w:rsidRDefault="00825851" w:rsidP="00825851">
      <w:r>
        <w:separator/>
      </w:r>
    </w:p>
  </w:footnote>
  <w:footnote w:type="continuationSeparator" w:id="0">
    <w:p w14:paraId="756D2F2D" w14:textId="77777777" w:rsidR="00825851" w:rsidRDefault="00825851" w:rsidP="0082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9BCD" w14:textId="623BA621" w:rsidR="00825851" w:rsidRDefault="00825851" w:rsidP="00825851">
    <w:pPr>
      <w:spacing w:before="96" w:line="283" w:lineRule="auto"/>
      <w:ind w:right="1443"/>
      <w:rPr>
        <w:rFonts w:ascii="Arial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326DD" wp14:editId="265A3203">
          <wp:simplePos x="0" y="0"/>
          <wp:positionH relativeFrom="column">
            <wp:posOffset>361950</wp:posOffset>
          </wp:positionH>
          <wp:positionV relativeFrom="paragraph">
            <wp:posOffset>-205105</wp:posOffset>
          </wp:positionV>
          <wp:extent cx="2927350" cy="819150"/>
          <wp:effectExtent l="0" t="0" r="6350" b="0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/>
        <w:color w:val="585858"/>
        <w:sz w:val="18"/>
      </w:rPr>
      <w:t>1155 15</w:t>
    </w:r>
    <w:proofErr w:type="spellStart"/>
    <w:r>
      <w:rPr>
        <w:rFonts w:ascii="Arial"/>
        <w:color w:val="585858"/>
        <w:position w:val="6"/>
        <w:sz w:val="12"/>
      </w:rPr>
      <w:t>th</w:t>
    </w:r>
    <w:proofErr w:type="spellEnd"/>
    <w:r>
      <w:rPr>
        <w:rFonts w:ascii="Arial"/>
        <w:color w:val="585858"/>
        <w:position w:val="6"/>
        <w:sz w:val="12"/>
      </w:rPr>
      <w:t xml:space="preserve"> </w:t>
    </w:r>
    <w:r>
      <w:rPr>
        <w:rFonts w:ascii="Arial"/>
        <w:color w:val="585858"/>
        <w:sz w:val="18"/>
      </w:rPr>
      <w:t xml:space="preserve">Street, N.W., Suite 600 </w:t>
    </w:r>
    <w:r>
      <w:rPr>
        <w:rFonts w:ascii="Arial"/>
        <w:color w:val="007CC5"/>
        <w:sz w:val="18"/>
      </w:rPr>
      <w:t xml:space="preserve">| </w:t>
    </w:r>
    <w:r>
      <w:rPr>
        <w:rFonts w:ascii="Arial"/>
        <w:color w:val="585858"/>
        <w:sz w:val="18"/>
      </w:rPr>
      <w:t xml:space="preserve">Washington, DC 20005 Tel. 202.204.7508 </w:t>
    </w:r>
    <w:r>
      <w:rPr>
        <w:rFonts w:ascii="Arial"/>
        <w:color w:val="007CC5"/>
        <w:sz w:val="18"/>
      </w:rPr>
      <w:t xml:space="preserve">| </w:t>
    </w:r>
    <w:hyperlink r:id="rId2" w:history="1">
      <w:r>
        <w:rPr>
          <w:rStyle w:val="Hyperlink"/>
          <w:rFonts w:ascii="Arial"/>
          <w:color w:val="585858"/>
          <w:sz w:val="18"/>
        </w:rPr>
        <w:t>www.communityplans.net</w:t>
      </w:r>
    </w:hyperlink>
  </w:p>
  <w:p w14:paraId="46B7EB80" w14:textId="767F3DF1" w:rsidR="00825851" w:rsidRDefault="00825851" w:rsidP="00825851">
    <w:pPr>
      <w:spacing w:before="2"/>
      <w:rPr>
        <w:rFonts w:ascii="Arial"/>
        <w:sz w:val="18"/>
      </w:rPr>
    </w:pPr>
    <w:r>
      <w:rPr>
        <w:rFonts w:ascii="Arial"/>
        <w:color w:val="585858"/>
        <w:sz w:val="18"/>
      </w:rPr>
      <w:t xml:space="preserve">Christopher D. Palmieri, Chair </w:t>
    </w:r>
    <w:r>
      <w:rPr>
        <w:rFonts w:ascii="Arial"/>
        <w:color w:val="007CC5"/>
        <w:sz w:val="18"/>
      </w:rPr>
      <w:t xml:space="preserve">| </w:t>
    </w:r>
    <w:r>
      <w:rPr>
        <w:rFonts w:ascii="Arial"/>
        <w:color w:val="585858"/>
        <w:sz w:val="18"/>
      </w:rPr>
      <w:t>Margaret A. Murray, Chief Executive Officer</w:t>
    </w:r>
  </w:p>
  <w:p w14:paraId="557A7258" w14:textId="3C354242" w:rsidR="00825851" w:rsidRDefault="0082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A66"/>
    <w:multiLevelType w:val="hybridMultilevel"/>
    <w:tmpl w:val="9D58CF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4907FD1"/>
    <w:multiLevelType w:val="hybridMultilevel"/>
    <w:tmpl w:val="A1C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6AF8"/>
    <w:multiLevelType w:val="hybridMultilevel"/>
    <w:tmpl w:val="041C2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DA1DF4"/>
    <w:multiLevelType w:val="hybridMultilevel"/>
    <w:tmpl w:val="C1B6D9E4"/>
    <w:lvl w:ilvl="0" w:tplc="7D442D4E">
      <w:numFmt w:val="bullet"/>
      <w:lvlText w:val=""/>
      <w:lvlJc w:val="left"/>
      <w:pPr>
        <w:ind w:left="2340" w:hanging="360"/>
      </w:pPr>
      <w:rPr>
        <w:w w:val="100"/>
        <w:lang w:val="en-US" w:eastAsia="en-US" w:bidi="ar-SA"/>
      </w:rPr>
    </w:lvl>
    <w:lvl w:ilvl="1" w:tplc="91A88724">
      <w:numFmt w:val="bullet"/>
      <w:lvlText w:val="•"/>
      <w:lvlJc w:val="left"/>
      <w:pPr>
        <w:ind w:left="3244" w:hanging="360"/>
      </w:pPr>
      <w:rPr>
        <w:lang w:val="en-US" w:eastAsia="en-US" w:bidi="ar-SA"/>
      </w:rPr>
    </w:lvl>
    <w:lvl w:ilvl="2" w:tplc="DACC7460">
      <w:numFmt w:val="bullet"/>
      <w:lvlText w:val="•"/>
      <w:lvlJc w:val="left"/>
      <w:pPr>
        <w:ind w:left="4148" w:hanging="360"/>
      </w:pPr>
      <w:rPr>
        <w:lang w:val="en-US" w:eastAsia="en-US" w:bidi="ar-SA"/>
      </w:rPr>
    </w:lvl>
    <w:lvl w:ilvl="3" w:tplc="1610AAD0">
      <w:numFmt w:val="bullet"/>
      <w:lvlText w:val="•"/>
      <w:lvlJc w:val="left"/>
      <w:pPr>
        <w:ind w:left="5052" w:hanging="360"/>
      </w:pPr>
      <w:rPr>
        <w:lang w:val="en-US" w:eastAsia="en-US" w:bidi="ar-SA"/>
      </w:rPr>
    </w:lvl>
    <w:lvl w:ilvl="4" w:tplc="8056FF00">
      <w:numFmt w:val="bullet"/>
      <w:lvlText w:val="•"/>
      <w:lvlJc w:val="left"/>
      <w:pPr>
        <w:ind w:left="5956" w:hanging="360"/>
      </w:pPr>
      <w:rPr>
        <w:lang w:val="en-US" w:eastAsia="en-US" w:bidi="ar-SA"/>
      </w:rPr>
    </w:lvl>
    <w:lvl w:ilvl="5" w:tplc="64B01F7C">
      <w:numFmt w:val="bullet"/>
      <w:lvlText w:val="•"/>
      <w:lvlJc w:val="left"/>
      <w:pPr>
        <w:ind w:left="6860" w:hanging="360"/>
      </w:pPr>
      <w:rPr>
        <w:lang w:val="en-US" w:eastAsia="en-US" w:bidi="ar-SA"/>
      </w:rPr>
    </w:lvl>
    <w:lvl w:ilvl="6" w:tplc="5EE4C16C">
      <w:numFmt w:val="bullet"/>
      <w:lvlText w:val="•"/>
      <w:lvlJc w:val="left"/>
      <w:pPr>
        <w:ind w:left="7764" w:hanging="360"/>
      </w:pPr>
      <w:rPr>
        <w:lang w:val="en-US" w:eastAsia="en-US" w:bidi="ar-SA"/>
      </w:rPr>
    </w:lvl>
    <w:lvl w:ilvl="7" w:tplc="E306EC54">
      <w:numFmt w:val="bullet"/>
      <w:lvlText w:val="•"/>
      <w:lvlJc w:val="left"/>
      <w:pPr>
        <w:ind w:left="8668" w:hanging="360"/>
      </w:pPr>
      <w:rPr>
        <w:lang w:val="en-US" w:eastAsia="en-US" w:bidi="ar-SA"/>
      </w:rPr>
    </w:lvl>
    <w:lvl w:ilvl="8" w:tplc="00CE1614">
      <w:numFmt w:val="bullet"/>
      <w:lvlText w:val="•"/>
      <w:lvlJc w:val="left"/>
      <w:pPr>
        <w:ind w:left="9572" w:hanging="360"/>
      </w:pPr>
      <w:rPr>
        <w:lang w:val="en-US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A"/>
    <w:rsid w:val="001562F5"/>
    <w:rsid w:val="00825851"/>
    <w:rsid w:val="00A8799A"/>
    <w:rsid w:val="00F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FD87"/>
  <w15:chartTrackingRefBased/>
  <w15:docId w15:val="{0E9FD7D7-7E4C-495E-9D6F-3636DB0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8799A"/>
    <w:pPr>
      <w:ind w:left="16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9A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879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799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99A"/>
    <w:pPr>
      <w:ind w:left="2340" w:hanging="361"/>
    </w:pPr>
  </w:style>
  <w:style w:type="character" w:styleId="Hyperlink">
    <w:name w:val="Hyperlink"/>
    <w:basedOn w:val="DefaultParagraphFont"/>
    <w:uiPriority w:val="99"/>
    <w:semiHidden/>
    <w:unhideWhenUsed/>
    <w:rsid w:val="00A879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XIpUXPVoQ&amp;feature=youtu.be" TargetMode="External"/><Relationship Id="rId13" Type="http://schemas.openxmlformats.org/officeDocument/2006/relationships/hyperlink" Target="https://www.medicaid.gov/state-overviews/scorecard/annual-medicaid-chip-expenditures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edicaiddirectors.org/wp-content/uploads/2019/11/100-copies-NAMD-Operations-Surv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aidinnovation.org/_images/content/2020-IMI-Medicaid_MCO_Survey-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tnershipformedicaid.org/wp-content/uploads/2017/12/P4M-Medicaid-Perspectives-Fall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OOVgCzT2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unityplan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Asfiya Mariam</dc:creator>
  <cp:keywords/>
  <dc:description/>
  <cp:lastModifiedBy>Asfiya Mariam</cp:lastModifiedBy>
  <cp:revision>3</cp:revision>
  <dcterms:created xsi:type="dcterms:W3CDTF">2021-04-05T19:02:00Z</dcterms:created>
  <dcterms:modified xsi:type="dcterms:W3CDTF">2021-04-05T19:07:00Z</dcterms:modified>
</cp:coreProperties>
</file>